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998" w14:textId="37C93AF9" w:rsidR="00427955" w:rsidRPr="00CC72D6" w:rsidRDefault="00427955" w:rsidP="00427955">
      <w:pPr>
        <w:jc w:val="right"/>
        <w:rPr>
          <w:sz w:val="24"/>
          <w:szCs w:val="24"/>
          <w:lang w:val="et-EE"/>
        </w:rPr>
      </w:pPr>
      <w:r w:rsidRPr="00CC72D6">
        <w:rPr>
          <w:sz w:val="24"/>
          <w:szCs w:val="24"/>
          <w:lang w:val="et-EE"/>
        </w:rPr>
        <w:t xml:space="preserve">Eelnõu </w:t>
      </w:r>
      <w:r>
        <w:rPr>
          <w:sz w:val="24"/>
          <w:szCs w:val="24"/>
          <w:lang w:val="et-EE"/>
        </w:rPr>
        <w:t>19.01.2023</w:t>
      </w:r>
    </w:p>
    <w:p w14:paraId="0E4C2128" w14:textId="2FC345A2" w:rsidR="00427955" w:rsidRDefault="00427955" w:rsidP="00427955">
      <w:pPr>
        <w:jc w:val="right"/>
        <w:rPr>
          <w:sz w:val="24"/>
          <w:szCs w:val="24"/>
          <w:lang w:val="et-EE"/>
        </w:rPr>
      </w:pPr>
      <w:r w:rsidRPr="00CC72D6">
        <w:rPr>
          <w:sz w:val="24"/>
          <w:szCs w:val="24"/>
          <w:lang w:val="et-EE"/>
        </w:rPr>
        <w:t xml:space="preserve">Esitaja: </w:t>
      </w:r>
      <w:r>
        <w:rPr>
          <w:sz w:val="24"/>
          <w:szCs w:val="24"/>
          <w:lang w:val="et-EE"/>
        </w:rPr>
        <w:t>haridus- ja noorsookomisjon</w:t>
      </w:r>
    </w:p>
    <w:p w14:paraId="230AC766" w14:textId="226CF140" w:rsidR="00427955" w:rsidRPr="00427955" w:rsidRDefault="00427955" w:rsidP="00427955">
      <w:pPr>
        <w:jc w:val="right"/>
        <w:rPr>
          <w:b/>
          <w:lang w:val="et-EE"/>
        </w:rPr>
      </w:pPr>
      <w:r>
        <w:rPr>
          <w:sz w:val="24"/>
          <w:szCs w:val="24"/>
          <w:lang w:val="et-EE"/>
        </w:rPr>
        <w:t>Ettekandja: komisjoni esimees Sigrid Mark</w:t>
      </w:r>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6FA702EA">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33D6209B"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3944E0">
        <w:rPr>
          <w:sz w:val="24"/>
          <w:szCs w:val="24"/>
          <w:lang w:val="et-EE"/>
        </w:rPr>
        <w:t>19.01.2023</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388B0B8A" w:rsidR="009D4F8F" w:rsidRPr="00161C42" w:rsidRDefault="00C3189A" w:rsidP="00161C42">
      <w:pPr>
        <w:autoSpaceDE w:val="0"/>
        <w:autoSpaceDN w:val="0"/>
        <w:adjustRightInd w:val="0"/>
        <w:spacing w:after="360" w:line="276" w:lineRule="auto"/>
        <w:rPr>
          <w:rFonts w:ascii="Times-Roman" w:eastAsiaTheme="minorHAnsi" w:hAnsi="Times-Roman" w:cs="Times-Roman"/>
          <w:b/>
          <w:sz w:val="24"/>
          <w:szCs w:val="24"/>
          <w:lang w:val="et-EE" w:eastAsia="en-US"/>
        </w:rPr>
      </w:pPr>
      <w:r>
        <w:rPr>
          <w:rFonts w:ascii="Times-Roman" w:eastAsiaTheme="minorHAnsi" w:hAnsi="Times-Roman" w:cs="Times-Roman"/>
          <w:b/>
          <w:sz w:val="24"/>
          <w:szCs w:val="24"/>
          <w:lang w:val="et-EE" w:eastAsia="en-US"/>
        </w:rPr>
        <w:t xml:space="preserve">Kanepi Vallavolikogu </w:t>
      </w:r>
      <w:r w:rsidR="003944E0" w:rsidRPr="003944E0">
        <w:rPr>
          <w:rFonts w:ascii="Times-Roman" w:eastAsiaTheme="minorHAnsi" w:hAnsi="Times-Roman" w:cs="Times-Roman"/>
          <w:b/>
          <w:sz w:val="24"/>
          <w:szCs w:val="24"/>
          <w:lang w:val="et-EE" w:eastAsia="en-US"/>
        </w:rPr>
        <w:t xml:space="preserve">20.03.2018 </w:t>
      </w:r>
      <w:r w:rsidR="003944E0">
        <w:rPr>
          <w:rFonts w:ascii="Times-Roman" w:eastAsiaTheme="minorHAnsi" w:hAnsi="Times-Roman" w:cs="Times-Roman"/>
          <w:b/>
          <w:sz w:val="24"/>
          <w:szCs w:val="24"/>
          <w:lang w:val="et-EE" w:eastAsia="en-US"/>
        </w:rPr>
        <w:t xml:space="preserve">määruse </w:t>
      </w:r>
      <w:r w:rsidR="003944E0" w:rsidRPr="003944E0">
        <w:rPr>
          <w:rFonts w:ascii="Times-Roman" w:eastAsiaTheme="minorHAnsi" w:hAnsi="Times-Roman" w:cs="Times-Roman"/>
          <w:b/>
          <w:sz w:val="24"/>
          <w:szCs w:val="24"/>
          <w:lang w:val="et-EE" w:eastAsia="en-US"/>
        </w:rPr>
        <w:t>nr 17</w:t>
      </w:r>
      <w:r>
        <w:rPr>
          <w:rFonts w:ascii="Times-Roman" w:eastAsiaTheme="minorHAnsi" w:hAnsi="Times-Roman" w:cs="Times-Roman"/>
          <w:b/>
          <w:sz w:val="24"/>
          <w:szCs w:val="24"/>
          <w:lang w:val="et-EE" w:eastAsia="en-US"/>
        </w:rPr>
        <w:t xml:space="preserve"> „</w:t>
      </w:r>
      <w:r w:rsidR="003944E0" w:rsidRPr="003944E0">
        <w:rPr>
          <w:rFonts w:ascii="Times-Roman" w:eastAsiaTheme="minorHAnsi" w:hAnsi="Times-Roman" w:cs="Times-Roman"/>
          <w:b/>
          <w:sz w:val="24"/>
          <w:szCs w:val="24"/>
          <w:lang w:val="et-EE" w:eastAsia="en-US"/>
        </w:rPr>
        <w:t>Kanepi valla tunnustuse avaldamise kord</w:t>
      </w:r>
      <w:r>
        <w:rPr>
          <w:rFonts w:ascii="Times-Roman" w:eastAsiaTheme="minorHAnsi" w:hAnsi="Times-Roman" w:cs="Times-Roman"/>
          <w:b/>
          <w:sz w:val="24"/>
          <w:szCs w:val="24"/>
          <w:lang w:val="et-EE" w:eastAsia="en-US"/>
        </w:rPr>
        <w:t>“ muutmine</w:t>
      </w:r>
    </w:p>
    <w:p w14:paraId="24142742" w14:textId="0E6E0C41"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Määrus kehtestatakse kohaliku omavalitsuse korralduse seaduse § 14 lõike 1 ja Kanepi Vallavolikogu 20.03.2018 määruse nr 16 „Kanepi valla põhimäärus“ § 6 alusel.</w:t>
      </w:r>
    </w:p>
    <w:p w14:paraId="1C54970E" w14:textId="48CB098C" w:rsidR="00C3189A" w:rsidRPr="00F439FB" w:rsidRDefault="00C3189A" w:rsidP="00161C4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3944E0" w:rsidRPr="003944E0">
        <w:rPr>
          <w:rFonts w:ascii="Times-Roman" w:eastAsiaTheme="minorHAnsi" w:hAnsi="Times-Roman" w:cs="Times-Roman"/>
          <w:b/>
          <w:bCs/>
          <w:sz w:val="24"/>
          <w:szCs w:val="24"/>
          <w:lang w:val="et-EE" w:eastAsia="en-US"/>
        </w:rPr>
        <w:t>Kanepi Vallavolikogu 20.03.2018 määruse</w:t>
      </w:r>
      <w:r w:rsidR="003944E0">
        <w:rPr>
          <w:rFonts w:ascii="Times-Roman" w:eastAsiaTheme="minorHAnsi" w:hAnsi="Times-Roman" w:cs="Times-Roman"/>
          <w:b/>
          <w:bCs/>
          <w:sz w:val="24"/>
          <w:szCs w:val="24"/>
          <w:lang w:val="et-EE" w:eastAsia="en-US"/>
        </w:rPr>
        <w:t>s</w:t>
      </w:r>
      <w:r w:rsidR="003944E0" w:rsidRPr="003944E0">
        <w:rPr>
          <w:rFonts w:ascii="Times-Roman" w:eastAsiaTheme="minorHAnsi" w:hAnsi="Times-Roman" w:cs="Times-Roman"/>
          <w:b/>
          <w:bCs/>
          <w:sz w:val="24"/>
          <w:szCs w:val="24"/>
          <w:lang w:val="et-EE" w:eastAsia="en-US"/>
        </w:rPr>
        <w:t xml:space="preserve"> nr 17 „Kanepi valla tunnustuse avaldamise kord“ </w:t>
      </w:r>
      <w:r w:rsidRPr="00F439FB">
        <w:rPr>
          <w:rFonts w:ascii="Times-Roman" w:eastAsiaTheme="minorHAnsi" w:hAnsi="Times-Roman" w:cs="Times-Roman"/>
          <w:b/>
          <w:bCs/>
          <w:sz w:val="24"/>
          <w:szCs w:val="24"/>
          <w:lang w:val="et-EE" w:eastAsia="en-US"/>
        </w:rPr>
        <w:t>tehakse järgmised muudatused:</w:t>
      </w:r>
    </w:p>
    <w:p w14:paraId="52463087" w14:textId="5AEE43E6" w:rsidR="003944E0" w:rsidRDefault="00F439FB"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1)</w:t>
      </w:r>
      <w:r>
        <w:rPr>
          <w:rFonts w:ascii="Times-Roman" w:eastAsiaTheme="minorHAnsi" w:hAnsi="Times-Roman" w:cs="Times-Roman"/>
          <w:sz w:val="24"/>
          <w:szCs w:val="24"/>
          <w:lang w:val="et-EE" w:eastAsia="en-US"/>
        </w:rPr>
        <w:t xml:space="preserve"> § </w:t>
      </w:r>
      <w:r w:rsidR="00857B26">
        <w:rPr>
          <w:rFonts w:ascii="Times-Roman" w:eastAsiaTheme="minorHAnsi" w:hAnsi="Times-Roman" w:cs="Times-Roman"/>
          <w:sz w:val="24"/>
          <w:szCs w:val="24"/>
          <w:lang w:val="et-EE" w:eastAsia="en-US"/>
        </w:rPr>
        <w:t>2</w:t>
      </w:r>
      <w:r>
        <w:rPr>
          <w:rFonts w:ascii="Times-Roman" w:eastAsiaTheme="minorHAnsi" w:hAnsi="Times-Roman" w:cs="Times-Roman"/>
          <w:sz w:val="24"/>
          <w:szCs w:val="24"/>
          <w:lang w:val="et-EE" w:eastAsia="en-US"/>
        </w:rPr>
        <w:t xml:space="preserve"> lg </w:t>
      </w:r>
      <w:r w:rsidR="003944E0">
        <w:rPr>
          <w:rFonts w:ascii="Times-Roman" w:eastAsiaTheme="minorHAnsi" w:hAnsi="Times-Roman" w:cs="Times-Roman"/>
          <w:sz w:val="24"/>
          <w:szCs w:val="24"/>
          <w:lang w:val="et-EE" w:eastAsia="en-US"/>
        </w:rPr>
        <w:t>2 täiendatakse punktiga 7 järgmises sõnastuses:</w:t>
      </w:r>
    </w:p>
    <w:p w14:paraId="7E549304" w14:textId="33C2D6AA" w:rsidR="00F439FB" w:rsidRDefault="003944E0"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 xml:space="preserve">„7) </w:t>
      </w:r>
      <w:r w:rsidR="00F439FB">
        <w:rPr>
          <w:rFonts w:ascii="Times-Roman" w:eastAsiaTheme="minorHAnsi" w:hAnsi="Times-Roman" w:cs="Times-Roman"/>
          <w:sz w:val="24"/>
          <w:szCs w:val="24"/>
          <w:lang w:val="et-EE" w:eastAsia="en-US"/>
        </w:rPr>
        <w:t xml:space="preserve"> </w:t>
      </w:r>
      <w:r w:rsidRPr="003944E0">
        <w:rPr>
          <w:rFonts w:ascii="Times-Roman" w:eastAsiaTheme="minorHAnsi" w:hAnsi="Times-Roman" w:cs="Times-Roman"/>
          <w:sz w:val="24"/>
          <w:szCs w:val="24"/>
          <w:lang w:val="et-EE" w:eastAsia="en-US"/>
        </w:rPr>
        <w:t>aasta haridusasutuse töötaja</w:t>
      </w:r>
      <w:r>
        <w:rPr>
          <w:rFonts w:ascii="Times-Roman" w:eastAsiaTheme="minorHAnsi" w:hAnsi="Times-Roman" w:cs="Times-Roman"/>
          <w:sz w:val="24"/>
          <w:szCs w:val="24"/>
          <w:lang w:val="et-EE" w:eastAsia="en-US"/>
        </w:rPr>
        <w:t>.“</w:t>
      </w:r>
    </w:p>
    <w:p w14:paraId="54B1F8DF" w14:textId="01AFB3DD"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2)</w:t>
      </w:r>
      <w:r>
        <w:rPr>
          <w:rFonts w:ascii="Times-Roman" w:eastAsiaTheme="minorHAnsi" w:hAnsi="Times-Roman" w:cs="Times-Roman"/>
          <w:sz w:val="24"/>
          <w:szCs w:val="24"/>
          <w:lang w:val="et-EE" w:eastAsia="en-US"/>
        </w:rPr>
        <w:t xml:space="preserve"> § 3 lg 4 muudetakse ja sõnastatakse see järgmiselt:</w:t>
      </w:r>
    </w:p>
    <w:p w14:paraId="2EEF04EF" w14:textId="5ED1F980" w:rsidR="003944E0" w:rsidRDefault="003944E0"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 xml:space="preserve">„(4) </w:t>
      </w:r>
      <w:r w:rsidRPr="003944E0">
        <w:rPr>
          <w:rFonts w:ascii="Times-Roman" w:eastAsiaTheme="minorHAnsi" w:hAnsi="Times-Roman" w:cs="Times-Roman"/>
          <w:sz w:val="24"/>
          <w:szCs w:val="24"/>
          <w:lang w:val="et-EE" w:eastAsia="en-US"/>
        </w:rPr>
        <w:t>Aukodaniku aunimetuse andmise ettepaneku esitamise õigus on kõikidel isikutel.</w:t>
      </w:r>
      <w:r>
        <w:rPr>
          <w:rFonts w:ascii="Times-Roman" w:eastAsiaTheme="minorHAnsi" w:hAnsi="Times-Roman" w:cs="Times-Roman"/>
          <w:sz w:val="24"/>
          <w:szCs w:val="24"/>
          <w:lang w:val="et-EE" w:eastAsia="en-US"/>
        </w:rPr>
        <w:t>“</w:t>
      </w:r>
    </w:p>
    <w:p w14:paraId="385D9205" w14:textId="11400C51"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3)</w:t>
      </w:r>
      <w:r>
        <w:rPr>
          <w:rFonts w:ascii="Times-Roman" w:eastAsiaTheme="minorHAnsi" w:hAnsi="Times-Roman" w:cs="Times-Roman"/>
          <w:sz w:val="24"/>
          <w:szCs w:val="24"/>
          <w:lang w:val="et-EE" w:eastAsia="en-US"/>
        </w:rPr>
        <w:t xml:space="preserve"> § 3 lg 9</w:t>
      </w:r>
      <w:r w:rsidR="006613C3">
        <w:rPr>
          <w:rFonts w:ascii="Times-Roman" w:eastAsiaTheme="minorHAnsi" w:hAnsi="Times-Roman" w:cs="Times-Roman"/>
          <w:sz w:val="24"/>
          <w:szCs w:val="24"/>
          <w:lang w:val="et-EE" w:eastAsia="en-US"/>
        </w:rPr>
        <w:t xml:space="preserve">, </w:t>
      </w:r>
      <w:r w:rsidR="006613C3">
        <w:rPr>
          <w:rFonts w:ascii="Times-Roman" w:eastAsiaTheme="minorHAnsi" w:hAnsi="Times-Roman" w:cs="Times-Roman"/>
          <w:sz w:val="24"/>
          <w:szCs w:val="24"/>
          <w:lang w:val="et-EE" w:eastAsia="en-US"/>
        </w:rPr>
        <w:t>§ 4 lg 10</w:t>
      </w:r>
      <w:r w:rsidR="006613C3">
        <w:rPr>
          <w:rFonts w:ascii="Times-Roman" w:eastAsiaTheme="minorHAnsi" w:hAnsi="Times-Roman" w:cs="Times-Roman"/>
          <w:sz w:val="24"/>
          <w:szCs w:val="24"/>
          <w:lang w:val="et-EE" w:eastAsia="en-US"/>
        </w:rPr>
        <w:t xml:space="preserve"> ja</w:t>
      </w:r>
      <w:r w:rsidR="006613C3">
        <w:rPr>
          <w:rFonts w:ascii="Times-Roman" w:eastAsiaTheme="minorHAnsi" w:hAnsi="Times-Roman" w:cs="Times-Roman"/>
          <w:sz w:val="24"/>
          <w:szCs w:val="24"/>
          <w:lang w:val="et-EE" w:eastAsia="en-US"/>
        </w:rPr>
        <w:t xml:space="preserve"> § 5 lg 6 </w:t>
      </w:r>
      <w:r>
        <w:rPr>
          <w:rFonts w:ascii="Times-Roman" w:eastAsiaTheme="minorHAnsi" w:hAnsi="Times-Roman" w:cs="Times-Roman"/>
          <w:sz w:val="24"/>
          <w:szCs w:val="24"/>
          <w:lang w:val="et-EE" w:eastAsia="en-US"/>
        </w:rPr>
        <w:t>tunnistatakse kehtetuks.</w:t>
      </w:r>
    </w:p>
    <w:p w14:paraId="46CAB813" w14:textId="5C829E72"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4)</w:t>
      </w:r>
      <w:r>
        <w:rPr>
          <w:rFonts w:ascii="Times-Roman" w:eastAsiaTheme="minorHAnsi" w:hAnsi="Times-Roman" w:cs="Times-Roman"/>
          <w:sz w:val="24"/>
          <w:szCs w:val="24"/>
          <w:lang w:val="et-EE" w:eastAsia="en-US"/>
        </w:rPr>
        <w:t xml:space="preserve"> § 4 lg 1 muudetakse ja sõnastatakse see järgmiselt:</w:t>
      </w:r>
    </w:p>
    <w:p w14:paraId="17DB82AD" w14:textId="49C251CE" w:rsidR="003944E0" w:rsidRDefault="003944E0"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3944E0">
        <w:rPr>
          <w:rFonts w:ascii="Times-Roman" w:eastAsiaTheme="minorHAnsi" w:hAnsi="Times-Roman" w:cs="Times-Roman"/>
          <w:sz w:val="24"/>
          <w:szCs w:val="24"/>
          <w:lang w:val="et-EE" w:eastAsia="en-US"/>
        </w:rPr>
        <w:t>(</w:t>
      </w:r>
      <w:r>
        <w:rPr>
          <w:rFonts w:ascii="Times-Roman" w:eastAsiaTheme="minorHAnsi" w:hAnsi="Times-Roman" w:cs="Times-Roman"/>
          <w:sz w:val="24"/>
          <w:szCs w:val="24"/>
          <w:lang w:val="et-EE" w:eastAsia="en-US"/>
        </w:rPr>
        <w:t>1</w:t>
      </w:r>
      <w:r w:rsidRPr="003944E0">
        <w:rPr>
          <w:rFonts w:ascii="Times-Roman" w:eastAsiaTheme="minorHAnsi" w:hAnsi="Times-Roman" w:cs="Times-Roman"/>
          <w:sz w:val="24"/>
          <w:szCs w:val="24"/>
          <w:lang w:val="et-EE" w:eastAsia="en-US"/>
        </w:rPr>
        <w:t xml:space="preserve">) Kanepi valla aunimetuse andmise eesmärk on avaldada avalikku tunnustust füüsilisele või juriidilisele isikule, ühingule või seltsingule, kes on oma tööalase või isikliku tegevusega </w:t>
      </w:r>
      <w:bookmarkStart w:id="0" w:name="_Hlk124409237"/>
      <w:r w:rsidRPr="003944E0">
        <w:rPr>
          <w:rFonts w:ascii="Times-Roman" w:eastAsiaTheme="minorHAnsi" w:hAnsi="Times-Roman" w:cs="Times-Roman"/>
          <w:sz w:val="24"/>
          <w:szCs w:val="24"/>
          <w:lang w:val="et-EE" w:eastAsia="en-US"/>
        </w:rPr>
        <w:t>aasta jooksul eriliselt silma paistnud Kanepi valla arendamisel</w:t>
      </w:r>
      <w:bookmarkEnd w:id="0"/>
      <w:r w:rsidRPr="003944E0">
        <w:rPr>
          <w:rFonts w:ascii="Times-Roman" w:eastAsiaTheme="minorHAnsi" w:hAnsi="Times-Roman" w:cs="Times-Roman"/>
          <w:sz w:val="24"/>
          <w:szCs w:val="24"/>
          <w:lang w:val="et-EE" w:eastAsia="en-US"/>
        </w:rPr>
        <w:t>, tõstnud paikkonna mainet ja tuntust.</w:t>
      </w:r>
      <w:r>
        <w:rPr>
          <w:rFonts w:ascii="Times-Roman" w:eastAsiaTheme="minorHAnsi" w:hAnsi="Times-Roman" w:cs="Times-Roman"/>
          <w:sz w:val="24"/>
          <w:szCs w:val="24"/>
          <w:lang w:val="et-EE" w:eastAsia="en-US"/>
        </w:rPr>
        <w:t>“</w:t>
      </w:r>
    </w:p>
    <w:p w14:paraId="47CF8E8E" w14:textId="1A05739A"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5)</w:t>
      </w:r>
      <w:r>
        <w:rPr>
          <w:rFonts w:ascii="Times-Roman" w:eastAsiaTheme="minorHAnsi" w:hAnsi="Times-Roman" w:cs="Times-Roman"/>
          <w:sz w:val="24"/>
          <w:szCs w:val="24"/>
          <w:lang w:val="et-EE" w:eastAsia="en-US"/>
        </w:rPr>
        <w:t xml:space="preserve"> § 4 lg 2 tunnistatakse kehtetuks.</w:t>
      </w:r>
    </w:p>
    <w:p w14:paraId="41779C43" w14:textId="5E309BE8"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6)</w:t>
      </w:r>
      <w:r>
        <w:rPr>
          <w:rFonts w:ascii="Times-Roman" w:eastAsiaTheme="minorHAnsi" w:hAnsi="Times-Roman" w:cs="Times-Roman"/>
          <w:sz w:val="24"/>
          <w:szCs w:val="24"/>
          <w:lang w:val="et-EE" w:eastAsia="en-US"/>
        </w:rPr>
        <w:t xml:space="preserve"> § 4 lg 4 muudetakse ja sõnastatakse see järgmiselt:</w:t>
      </w:r>
    </w:p>
    <w:p w14:paraId="2AF52FE3" w14:textId="16331BDB" w:rsidR="003944E0" w:rsidRDefault="003944E0"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„(4)</w:t>
      </w:r>
      <w:r w:rsidRPr="003944E0">
        <w:rPr>
          <w:rFonts w:ascii="Times-Roman" w:eastAsiaTheme="minorHAnsi" w:hAnsi="Times-Roman" w:cs="Times-Roman"/>
          <w:sz w:val="24"/>
          <w:szCs w:val="24"/>
          <w:lang w:val="et-EE" w:eastAsia="en-US"/>
        </w:rPr>
        <w:t xml:space="preserve"> Aunimetus antakse üks kord aastas ühele või mitmele igas eelnimetatud kategoorias esitatud kandidaadile. Aunimetus võidakse jätta välja andmata nõuetele vastavate kandidaatide puudumisel.</w:t>
      </w:r>
      <w:r>
        <w:rPr>
          <w:rFonts w:ascii="Times-Roman" w:eastAsiaTheme="minorHAnsi" w:hAnsi="Times-Roman" w:cs="Times-Roman"/>
          <w:sz w:val="24"/>
          <w:szCs w:val="24"/>
          <w:lang w:val="et-EE" w:eastAsia="en-US"/>
        </w:rPr>
        <w:t>“</w:t>
      </w:r>
    </w:p>
    <w:p w14:paraId="41C065CB" w14:textId="09D9FFA2" w:rsidR="003944E0" w:rsidRDefault="003944E0"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7)</w:t>
      </w:r>
      <w:r>
        <w:rPr>
          <w:rFonts w:ascii="Times-Roman" w:eastAsiaTheme="minorHAnsi" w:hAnsi="Times-Roman" w:cs="Times-Roman"/>
          <w:sz w:val="24"/>
          <w:szCs w:val="24"/>
          <w:lang w:val="et-EE" w:eastAsia="en-US"/>
        </w:rPr>
        <w:t xml:space="preserve"> § 4 lg 5 muudetakse</w:t>
      </w:r>
      <w:r w:rsidR="008E2F32">
        <w:rPr>
          <w:rFonts w:ascii="Times-Roman" w:eastAsiaTheme="minorHAnsi" w:hAnsi="Times-Roman" w:cs="Times-Roman"/>
          <w:sz w:val="24"/>
          <w:szCs w:val="24"/>
          <w:lang w:val="et-EE" w:eastAsia="en-US"/>
        </w:rPr>
        <w:t xml:space="preserve"> ja sõnastatakse see järgmiselt:</w:t>
      </w:r>
    </w:p>
    <w:p w14:paraId="70554463" w14:textId="2FB7464C" w:rsidR="008E2F32" w:rsidRDefault="008E2F32"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8E2F32">
        <w:rPr>
          <w:rFonts w:ascii="Times-Roman" w:eastAsiaTheme="minorHAnsi" w:hAnsi="Times-Roman" w:cs="Times-Roman"/>
          <w:sz w:val="24"/>
          <w:szCs w:val="24"/>
          <w:lang w:val="et-EE" w:eastAsia="en-US"/>
        </w:rPr>
        <w:t>(5) Aunimetuse andmise ettepaneku esitamise õigus on kõikidel Kanepi valla isikutel.</w:t>
      </w:r>
      <w:r>
        <w:rPr>
          <w:rFonts w:ascii="Times-Roman" w:eastAsiaTheme="minorHAnsi" w:hAnsi="Times-Roman" w:cs="Times-Roman"/>
          <w:sz w:val="24"/>
          <w:szCs w:val="24"/>
          <w:lang w:val="et-EE" w:eastAsia="en-US"/>
        </w:rPr>
        <w:t>“</w:t>
      </w:r>
    </w:p>
    <w:p w14:paraId="3DD47736" w14:textId="2642832C" w:rsidR="008E2F32" w:rsidRDefault="006613C3"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8</w:t>
      </w:r>
      <w:r w:rsidR="008E2F32" w:rsidRPr="005F7532">
        <w:rPr>
          <w:rFonts w:ascii="Times-Roman" w:eastAsiaTheme="minorHAnsi" w:hAnsi="Times-Roman" w:cs="Times-Roman"/>
          <w:b/>
          <w:bCs/>
          <w:sz w:val="24"/>
          <w:szCs w:val="24"/>
          <w:lang w:val="et-EE" w:eastAsia="en-US"/>
        </w:rPr>
        <w:t>)</w:t>
      </w:r>
      <w:r w:rsidR="008E2F32">
        <w:rPr>
          <w:rFonts w:ascii="Times-Roman" w:eastAsiaTheme="minorHAnsi" w:hAnsi="Times-Roman" w:cs="Times-Roman"/>
          <w:sz w:val="24"/>
          <w:szCs w:val="24"/>
          <w:lang w:val="et-EE" w:eastAsia="en-US"/>
        </w:rPr>
        <w:t xml:space="preserve"> </w:t>
      </w:r>
      <w:r w:rsidR="00427955">
        <w:rPr>
          <w:rFonts w:ascii="Times-Roman" w:eastAsiaTheme="minorHAnsi" w:hAnsi="Times-Roman" w:cs="Times-Roman"/>
          <w:sz w:val="24"/>
          <w:szCs w:val="24"/>
          <w:lang w:val="et-EE" w:eastAsia="en-US"/>
        </w:rPr>
        <w:t xml:space="preserve">§ 7 </w:t>
      </w:r>
      <w:r w:rsidR="008E2F32">
        <w:rPr>
          <w:rFonts w:ascii="Times-Roman" w:eastAsiaTheme="minorHAnsi" w:hAnsi="Times-Roman" w:cs="Times-Roman"/>
          <w:sz w:val="24"/>
          <w:szCs w:val="24"/>
          <w:lang w:val="et-EE" w:eastAsia="en-US"/>
        </w:rPr>
        <w:t>lg 3 täiendatakse punktiga 7 järgmises sõnastuses:</w:t>
      </w:r>
    </w:p>
    <w:p w14:paraId="45EC39EB" w14:textId="148CBBFB" w:rsidR="00161C42" w:rsidRDefault="008E2F32" w:rsidP="006613C3">
      <w:pPr>
        <w:autoSpaceDE w:val="0"/>
        <w:autoSpaceDN w:val="0"/>
        <w:adjustRightInd w:val="0"/>
        <w:spacing w:after="120"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8E2F32">
        <w:rPr>
          <w:rFonts w:ascii="Times-Roman" w:eastAsiaTheme="minorHAnsi" w:hAnsi="Times-Roman" w:cs="Times-Roman"/>
          <w:sz w:val="24"/>
          <w:szCs w:val="24"/>
          <w:lang w:val="et-EE" w:eastAsia="en-US"/>
        </w:rPr>
        <w:t>7) aasta haridusasutuse töötaja, mis omistatakse isikule, kellel on õppeaastal tähelepanuväärsed töötulemused haridusasutuses ning kes oma tegevusega toetavad õpilasi/lapsi ja õpetajaid, haridusasutuse arengut ja uute ideede elluviimist.</w:t>
      </w:r>
      <w:r w:rsidR="00161C42">
        <w:rPr>
          <w:rFonts w:ascii="Times-Roman" w:eastAsiaTheme="minorHAnsi" w:hAnsi="Times-Roman" w:cs="Times-Roman"/>
          <w:sz w:val="24"/>
          <w:szCs w:val="24"/>
          <w:lang w:val="et-EE" w:eastAsia="en-US"/>
        </w:rPr>
        <w:t>“</w:t>
      </w:r>
    </w:p>
    <w:p w14:paraId="6FA70281" w14:textId="0B6307B1"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lastRenderedPageBreak/>
        <w:t xml:space="preserve">§ </w:t>
      </w:r>
      <w:r w:rsidR="00F439FB">
        <w:rPr>
          <w:rFonts w:ascii="Times-Bold" w:eastAsiaTheme="minorHAnsi" w:hAnsi="Times-Bold" w:cs="Times-Bold"/>
          <w:b/>
          <w:bCs/>
          <w:sz w:val="24"/>
          <w:szCs w:val="24"/>
          <w:lang w:val="et-EE" w:eastAsia="en-US"/>
        </w:rPr>
        <w:t>2</w:t>
      </w:r>
      <w:r>
        <w:rPr>
          <w:rFonts w:ascii="Times-Bold" w:eastAsiaTheme="minorHAnsi" w:hAnsi="Times-Bold" w:cs="Times-Bold"/>
          <w:b/>
          <w:bCs/>
          <w:sz w:val="24"/>
          <w:szCs w:val="24"/>
          <w:lang w:val="et-EE" w:eastAsia="en-US"/>
        </w:rPr>
        <w:t>. Määruse rakendamine</w:t>
      </w:r>
    </w:p>
    <w:p w14:paraId="7D1493BD" w14:textId="4F7308B0" w:rsidR="00CE0BE2" w:rsidRDefault="00421CAD" w:rsidP="006613C3">
      <w:pPr>
        <w:pStyle w:val="Loend"/>
        <w:spacing w:line="276" w:lineRule="auto"/>
        <w:jc w:val="both"/>
        <w:rPr>
          <w:sz w:val="24"/>
          <w:szCs w:val="24"/>
          <w:lang w:val="et-EE"/>
        </w:rPr>
      </w:pPr>
      <w:r>
        <w:rPr>
          <w:sz w:val="24"/>
          <w:szCs w:val="24"/>
          <w:lang w:val="et-EE"/>
        </w:rPr>
        <w:t>Määrus jõustub kolmandal päeval pärast Riigi Teatajas avaldamist.</w:t>
      </w:r>
    </w:p>
    <w:p w14:paraId="0B2115F1" w14:textId="77777777" w:rsidR="006613C3" w:rsidRDefault="006613C3" w:rsidP="006613C3">
      <w:pPr>
        <w:pStyle w:val="Loend"/>
        <w:spacing w:line="276" w:lineRule="auto"/>
        <w:jc w:val="both"/>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17A03130" w14:textId="1276B5CE" w:rsidR="00D55260" w:rsidRPr="00C7155E" w:rsidRDefault="00D55260" w:rsidP="00161C42">
      <w:pPr>
        <w:spacing w:line="276" w:lineRule="auto"/>
        <w:rPr>
          <w:b/>
          <w:sz w:val="24"/>
          <w:szCs w:val="24"/>
          <w:lang w:val="et-EE"/>
        </w:rPr>
      </w:pPr>
      <w:r w:rsidRPr="00C7155E">
        <w:rPr>
          <w:b/>
          <w:sz w:val="24"/>
          <w:szCs w:val="24"/>
          <w:lang w:val="et-EE"/>
        </w:rPr>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08D99E01" w14:textId="43395CB7" w:rsidR="00D55260" w:rsidRPr="00161C42" w:rsidRDefault="00D55260" w:rsidP="00161C42">
      <w:pPr>
        <w:spacing w:after="360" w:line="276" w:lineRule="auto"/>
        <w:rPr>
          <w:b/>
          <w:sz w:val="24"/>
          <w:szCs w:val="24"/>
          <w:lang w:val="et-EE"/>
        </w:rPr>
      </w:pPr>
      <w:r>
        <w:rPr>
          <w:b/>
          <w:sz w:val="24"/>
          <w:szCs w:val="24"/>
          <w:lang w:val="et-EE"/>
        </w:rPr>
        <w:t>Kanepi valla tunnustuste avaldamise kord</w:t>
      </w:r>
    </w:p>
    <w:p w14:paraId="56CFFE6C" w14:textId="21464C3A" w:rsidR="00D55260" w:rsidRDefault="00D55260" w:rsidP="00161C42">
      <w:pPr>
        <w:spacing w:after="120" w:line="276" w:lineRule="auto"/>
        <w:jc w:val="both"/>
        <w:rPr>
          <w:sz w:val="24"/>
          <w:szCs w:val="24"/>
          <w:lang w:val="et-EE"/>
        </w:rPr>
      </w:pPr>
      <w:r>
        <w:rPr>
          <w:sz w:val="24"/>
          <w:szCs w:val="24"/>
          <w:lang w:val="et-EE"/>
        </w:rPr>
        <w:t xml:space="preserve">Kohaliku omavalitsuse korralduse seaduse § 6 lõike 3 punkti 2 kohaselt korraldab </w:t>
      </w:r>
      <w:r w:rsidRPr="00072725">
        <w:rPr>
          <w:sz w:val="24"/>
          <w:szCs w:val="24"/>
          <w:lang w:val="et-EE"/>
        </w:rPr>
        <w:t>omavalitsusüksus neid kohaliku elu küsimusi</w:t>
      </w:r>
      <w:r w:rsidRPr="00E5649B">
        <w:rPr>
          <w:lang w:val="et-EE"/>
        </w:rPr>
        <w:t xml:space="preserve"> </w:t>
      </w:r>
      <w:r w:rsidRPr="00072725">
        <w:rPr>
          <w:sz w:val="24"/>
          <w:szCs w:val="24"/>
          <w:lang w:val="et-EE"/>
        </w:rPr>
        <w:t>mis ei ole seadusega antud kellegi teise otsustada ja korraldada.</w:t>
      </w:r>
      <w:r>
        <w:rPr>
          <w:sz w:val="24"/>
          <w:szCs w:val="24"/>
          <w:lang w:val="et-EE"/>
        </w:rPr>
        <w:t xml:space="preserve"> Sama seaduse § 14 lõike 1 kohaselt   </w:t>
      </w:r>
      <w:r w:rsidRPr="00072725">
        <w:rPr>
          <w:sz w:val="24"/>
          <w:szCs w:val="24"/>
          <w:lang w:val="et-EE"/>
        </w:rPr>
        <w:t xml:space="preserve">võib </w:t>
      </w:r>
      <w:r>
        <w:rPr>
          <w:sz w:val="24"/>
          <w:szCs w:val="24"/>
          <w:lang w:val="et-EE"/>
        </w:rPr>
        <w:t>o</w:t>
      </w:r>
      <w:r w:rsidRPr="00072725">
        <w:rPr>
          <w:sz w:val="24"/>
          <w:szCs w:val="24"/>
          <w:lang w:val="et-EE"/>
        </w:rPr>
        <w:t>mavalitsusüksusel olla oma lipp, vapp, aumärgid, ametirahad, aunimetused ja muu sümboolika.</w:t>
      </w:r>
      <w:r>
        <w:rPr>
          <w:sz w:val="24"/>
          <w:szCs w:val="24"/>
          <w:lang w:val="et-EE"/>
        </w:rPr>
        <w:t xml:space="preserve"> Kanepi valla põhimääruse § 6 kohaselt kehtestab volikogu valla tunnustuste avaldamise korra. </w:t>
      </w:r>
    </w:p>
    <w:p w14:paraId="7522B030" w14:textId="38939189" w:rsidR="00D55260" w:rsidRDefault="00D55260" w:rsidP="00161C42">
      <w:pPr>
        <w:spacing w:after="120" w:line="276" w:lineRule="auto"/>
        <w:jc w:val="both"/>
        <w:rPr>
          <w:sz w:val="24"/>
          <w:szCs w:val="24"/>
          <w:lang w:val="et-EE"/>
        </w:rPr>
      </w:pPr>
      <w:r>
        <w:rPr>
          <w:sz w:val="24"/>
          <w:szCs w:val="24"/>
          <w:lang w:val="et-EE"/>
        </w:rPr>
        <w:t xml:space="preserve">Eelnõu on algatatud volikogu haridus- ja noorsookomisjoni 11.10.2022 koosolekul, täiendav arutelu ja ettepanekute esitamine toimus15.11.2022 koosolekul. Eelnõuga </w:t>
      </w:r>
      <w:r w:rsidR="00161C42">
        <w:rPr>
          <w:sz w:val="24"/>
          <w:szCs w:val="24"/>
          <w:lang w:val="et-EE"/>
        </w:rPr>
        <w:t xml:space="preserve">on </w:t>
      </w:r>
      <w:r>
        <w:rPr>
          <w:sz w:val="24"/>
          <w:szCs w:val="24"/>
          <w:lang w:val="et-EE"/>
        </w:rPr>
        <w:t>tutvunud ning omapoolse seisukoha esitanud volikogu kultuuri- ja spordikomisjon 14.12.2022 toimunud koosolekul.</w:t>
      </w:r>
    </w:p>
    <w:p w14:paraId="523001E1" w14:textId="213613D4" w:rsidR="00D55260" w:rsidRDefault="00D55260" w:rsidP="00161C42">
      <w:pPr>
        <w:spacing w:after="120" w:line="276" w:lineRule="auto"/>
        <w:jc w:val="both"/>
        <w:rPr>
          <w:sz w:val="24"/>
          <w:szCs w:val="24"/>
          <w:lang w:val="et-EE"/>
        </w:rPr>
      </w:pPr>
      <w:r>
        <w:rPr>
          <w:sz w:val="24"/>
          <w:szCs w:val="24"/>
          <w:lang w:val="et-EE"/>
        </w:rPr>
        <w:t>Eelnõuga esitatakse järgmised muudatusettepanekud.</w:t>
      </w:r>
    </w:p>
    <w:p w14:paraId="32A380C3" w14:textId="0E3DDF84" w:rsidR="00D55260" w:rsidRDefault="00D55260" w:rsidP="00161C42">
      <w:pPr>
        <w:spacing w:after="120" w:line="276" w:lineRule="auto"/>
        <w:jc w:val="both"/>
        <w:rPr>
          <w:sz w:val="24"/>
          <w:szCs w:val="24"/>
          <w:lang w:val="et-EE"/>
        </w:rPr>
      </w:pPr>
      <w:r>
        <w:rPr>
          <w:sz w:val="24"/>
          <w:szCs w:val="24"/>
          <w:lang w:val="et-EE"/>
        </w:rPr>
        <w:t>1. § 2 lõikes 2 täiendatakse haridustöötajate tunnustuste liike tunnustusega „aasta haridusasutuse töötaja“. Ettepaneku esitas haridus- ja noorsookomisjon tulenevalt iga-aastasel tunnustustettepanekute läbivaatamisel tekkinud arutelust. Haridustöötajate tunnustuste avaldamiseks esitatakse ettepanekuid aktiivselt. Kehtiva määruse tunnustuste liikide hulgas puudub kategooria, mis võimaldaks tunnustada haridusasutused töötavat isikut, kes samas ei ole haridustöötajad. Tunnustust väärivaid haridusasutuse töötajaid aga leidub meie vallas küll</w:t>
      </w:r>
      <w:r w:rsidR="00427955">
        <w:rPr>
          <w:sz w:val="24"/>
          <w:szCs w:val="24"/>
          <w:lang w:val="et-EE"/>
        </w:rPr>
        <w:t>.</w:t>
      </w:r>
    </w:p>
    <w:p w14:paraId="352C2D32" w14:textId="4D1B29F5" w:rsidR="00D55260" w:rsidRDefault="00D55260" w:rsidP="00161C42">
      <w:pPr>
        <w:spacing w:after="120" w:line="276" w:lineRule="auto"/>
        <w:jc w:val="both"/>
        <w:rPr>
          <w:sz w:val="24"/>
          <w:szCs w:val="24"/>
          <w:lang w:val="et-EE"/>
        </w:rPr>
      </w:pPr>
      <w:r>
        <w:rPr>
          <w:sz w:val="24"/>
          <w:szCs w:val="24"/>
          <w:lang w:val="et-EE"/>
        </w:rPr>
        <w:t xml:space="preserve">2. § 3 lõiget 4 </w:t>
      </w:r>
      <w:r w:rsidR="00826253">
        <w:rPr>
          <w:sz w:val="24"/>
          <w:szCs w:val="24"/>
          <w:lang w:val="et-EE"/>
        </w:rPr>
        <w:t xml:space="preserve">ja § 4 lõiget 5 </w:t>
      </w:r>
      <w:r>
        <w:rPr>
          <w:sz w:val="24"/>
          <w:szCs w:val="24"/>
          <w:lang w:val="et-EE"/>
        </w:rPr>
        <w:t xml:space="preserve">muudetakse ja jäetakse välja tingimus, et </w:t>
      </w:r>
      <w:r w:rsidR="00E91247">
        <w:rPr>
          <w:sz w:val="24"/>
          <w:szCs w:val="24"/>
          <w:lang w:val="et-EE"/>
        </w:rPr>
        <w:t xml:space="preserve">aunimetuse ettepaneku esitamise õigus on vaid Kanepi valla elanikel. </w:t>
      </w:r>
      <w:r w:rsidR="00826253">
        <w:rPr>
          <w:sz w:val="24"/>
          <w:szCs w:val="24"/>
          <w:lang w:val="et-EE"/>
        </w:rPr>
        <w:t>Edaspidi võib ettepaneku tunnustamiseks esitada iga isik, sõltumata tema elukohast.</w:t>
      </w:r>
    </w:p>
    <w:p w14:paraId="521B02E4" w14:textId="4F576DC1" w:rsidR="00E91247" w:rsidRDefault="00E91247" w:rsidP="00161C42">
      <w:pPr>
        <w:spacing w:after="120" w:line="276" w:lineRule="auto"/>
        <w:jc w:val="both"/>
        <w:rPr>
          <w:sz w:val="24"/>
          <w:szCs w:val="24"/>
          <w:lang w:val="et-EE"/>
        </w:rPr>
      </w:pPr>
      <w:r>
        <w:rPr>
          <w:sz w:val="24"/>
          <w:szCs w:val="24"/>
          <w:lang w:val="et-EE"/>
        </w:rPr>
        <w:t>3. § 3 lõige 9, § 4 lg 10 ja § 5 lg 6  kohaselt registreeritakse aunimetused ja tänukirjad Kanepi valla auraamatus. Lõiked tunnistatakse kehtetuks, aunimetused märgitakse valla veebilehel ja eraldi auraamatut ei peeta. Valla veebilehel on ülevaade antud aunimetustes kättesaadav kõikidele huvilistele, eraldi araamatu pidamine ei ole vajalik.</w:t>
      </w:r>
    </w:p>
    <w:p w14:paraId="5827A9A3" w14:textId="4296712E" w:rsidR="00E91247" w:rsidRDefault="00E91247" w:rsidP="00161C42">
      <w:pPr>
        <w:spacing w:after="120" w:line="276" w:lineRule="auto"/>
        <w:jc w:val="both"/>
        <w:rPr>
          <w:sz w:val="24"/>
          <w:szCs w:val="24"/>
          <w:lang w:val="et-EE"/>
        </w:rPr>
      </w:pPr>
      <w:r>
        <w:rPr>
          <w:sz w:val="24"/>
          <w:szCs w:val="24"/>
          <w:lang w:val="et-EE"/>
        </w:rPr>
        <w:t xml:space="preserve">4. § 4 lõiget 1 täiendatakse täpsustusega, et aunimetuse saaja on </w:t>
      </w:r>
      <w:r w:rsidRPr="00E91247">
        <w:rPr>
          <w:sz w:val="24"/>
          <w:szCs w:val="24"/>
          <w:lang w:val="et-EE"/>
        </w:rPr>
        <w:t>aasta jooksul eriliselt silma paistnud Kanepi valla arendamisel</w:t>
      </w:r>
      <w:r>
        <w:rPr>
          <w:sz w:val="24"/>
          <w:szCs w:val="24"/>
          <w:lang w:val="et-EE"/>
        </w:rPr>
        <w:t xml:space="preserve">. </w:t>
      </w:r>
      <w:r w:rsidR="00427955">
        <w:rPr>
          <w:sz w:val="24"/>
          <w:szCs w:val="24"/>
          <w:lang w:val="et-EE"/>
        </w:rPr>
        <w:t>Senises sõnastuses puudub viide vallale.</w:t>
      </w:r>
    </w:p>
    <w:p w14:paraId="1B7F803D" w14:textId="5CBCC55F" w:rsidR="00D55260" w:rsidRDefault="00E91247" w:rsidP="00161C42">
      <w:pPr>
        <w:spacing w:after="120" w:line="276" w:lineRule="auto"/>
        <w:jc w:val="both"/>
        <w:rPr>
          <w:sz w:val="24"/>
          <w:szCs w:val="24"/>
          <w:lang w:val="et-EE"/>
        </w:rPr>
      </w:pPr>
      <w:r>
        <w:rPr>
          <w:sz w:val="24"/>
          <w:szCs w:val="24"/>
          <w:lang w:val="et-EE"/>
        </w:rPr>
        <w:t>5. § 4 lõige 2 sõnastuses „</w:t>
      </w:r>
      <w:r w:rsidRPr="00E91247">
        <w:rPr>
          <w:sz w:val="24"/>
          <w:szCs w:val="24"/>
          <w:lang w:val="et-EE"/>
        </w:rPr>
        <w:t>Aunimetus antakse Kanepi valla kodanikule“</w:t>
      </w:r>
      <w:r>
        <w:rPr>
          <w:sz w:val="24"/>
          <w:szCs w:val="24"/>
          <w:lang w:val="et-EE"/>
        </w:rPr>
        <w:t xml:space="preserve">, tunnistatakse kehtetuks. </w:t>
      </w:r>
      <w:r w:rsidRPr="00E91247">
        <w:rPr>
          <w:sz w:val="24"/>
          <w:szCs w:val="24"/>
          <w:lang w:val="et-EE"/>
        </w:rPr>
        <w:t xml:space="preserve">Praktikas on tunnustust väärivate nominentidena esitatud isikuid, kelle elukoht ei ole registreeritud Kanepi vallas, kuid kes oma tegevusega panustavad Kanepi valla arengusse </w:t>
      </w:r>
      <w:r>
        <w:rPr>
          <w:sz w:val="24"/>
          <w:szCs w:val="24"/>
          <w:lang w:val="et-EE"/>
        </w:rPr>
        <w:t>ja/</w:t>
      </w:r>
      <w:r w:rsidRPr="00E91247">
        <w:rPr>
          <w:sz w:val="24"/>
          <w:szCs w:val="24"/>
          <w:lang w:val="et-EE"/>
        </w:rPr>
        <w:t>või edendavad valla mainet.</w:t>
      </w:r>
    </w:p>
    <w:p w14:paraId="50ECC865" w14:textId="232964FF" w:rsidR="00826253" w:rsidRDefault="00826253" w:rsidP="00161C42">
      <w:pPr>
        <w:spacing w:after="120" w:line="276" w:lineRule="auto"/>
        <w:jc w:val="both"/>
        <w:rPr>
          <w:sz w:val="24"/>
          <w:szCs w:val="24"/>
          <w:lang w:val="et-EE"/>
        </w:rPr>
      </w:pPr>
      <w:r>
        <w:rPr>
          <w:sz w:val="24"/>
          <w:szCs w:val="24"/>
          <w:lang w:val="et-EE"/>
        </w:rPr>
        <w:t xml:space="preserve">6. § 4 lõiget 4 muudetakse ja täiendatakse võimalusega tunnustada enam kui ühte aunimetuse kategoorias esitatud isikut. Praktikas oleme silmitsi seisnud olukorraga, kus kategoorias on esitatud </w:t>
      </w:r>
      <w:r>
        <w:rPr>
          <w:sz w:val="24"/>
          <w:szCs w:val="24"/>
          <w:lang w:val="et-EE"/>
        </w:rPr>
        <w:lastRenderedPageBreak/>
        <w:t>enam kui üks tunnustust vääriv isik. Kuna aunimetused hõlmavad aasta tegevusi, siis ei saa tunnustamist ka järgmisse aastasse lükata.</w:t>
      </w:r>
    </w:p>
    <w:p w14:paraId="39193A42" w14:textId="1CE78DDD" w:rsidR="00427955" w:rsidRDefault="00427955" w:rsidP="00161C42">
      <w:pPr>
        <w:spacing w:after="120" w:line="276" w:lineRule="auto"/>
        <w:jc w:val="both"/>
        <w:rPr>
          <w:sz w:val="24"/>
          <w:szCs w:val="24"/>
          <w:lang w:val="et-EE"/>
        </w:rPr>
      </w:pPr>
      <w:r>
        <w:rPr>
          <w:sz w:val="24"/>
          <w:szCs w:val="24"/>
          <w:lang w:val="et-EE"/>
        </w:rPr>
        <w:t>7. § 7 lõike 3 punktis 7 selgitatakse aasta haridusasutuse töötaja tunnustuse sisu. A</w:t>
      </w:r>
      <w:r w:rsidRPr="00427955">
        <w:rPr>
          <w:sz w:val="24"/>
          <w:szCs w:val="24"/>
          <w:lang w:val="et-EE"/>
        </w:rPr>
        <w:t>asta haridusasutuse töötaja</w:t>
      </w:r>
      <w:r>
        <w:rPr>
          <w:sz w:val="24"/>
          <w:szCs w:val="24"/>
          <w:lang w:val="et-EE"/>
        </w:rPr>
        <w:t xml:space="preserve"> tunnustus </w:t>
      </w:r>
      <w:r w:rsidRPr="00427955">
        <w:rPr>
          <w:sz w:val="24"/>
          <w:szCs w:val="24"/>
          <w:lang w:val="et-EE"/>
        </w:rPr>
        <w:t>omistatakse isikule, kellel on õppeaastal tähelepanuväärsed töötulemused haridusasutuses ning kes oma tegevusega toetavad õpilasi/lapsi ja õpetajaid, haridusasutuse arengut ja uute ideede elluviimist</w:t>
      </w:r>
      <w:r>
        <w:rPr>
          <w:sz w:val="24"/>
          <w:szCs w:val="24"/>
          <w:lang w:val="et-EE"/>
        </w:rPr>
        <w:t xml:space="preserve">. </w:t>
      </w:r>
    </w:p>
    <w:p w14:paraId="279D96CB" w14:textId="170C0064" w:rsidR="00161C42" w:rsidRDefault="00161C42" w:rsidP="00161C42">
      <w:pPr>
        <w:spacing w:after="120" w:line="276" w:lineRule="auto"/>
        <w:jc w:val="both"/>
        <w:rPr>
          <w:sz w:val="24"/>
          <w:szCs w:val="24"/>
          <w:lang w:val="et-EE"/>
        </w:rPr>
      </w:pPr>
      <w:r w:rsidRPr="00161C42">
        <w:rPr>
          <w:sz w:val="24"/>
          <w:szCs w:val="24"/>
          <w:u w:val="single"/>
          <w:lang w:val="et-EE"/>
        </w:rPr>
        <w:t>Eelnõuga kaasnevad eelarvelised muudatused</w:t>
      </w:r>
      <w:r>
        <w:rPr>
          <w:sz w:val="24"/>
          <w:szCs w:val="24"/>
          <w:lang w:val="et-EE"/>
        </w:rPr>
        <w:t xml:space="preserve">. </w:t>
      </w:r>
      <w:r w:rsidRPr="00161C42">
        <w:rPr>
          <w:sz w:val="24"/>
          <w:szCs w:val="24"/>
          <w:lang w:val="et-EE"/>
        </w:rPr>
        <w:t>Haridustöötaja tunnustusega kaasneb rahaline preemia 100 eurot. Kuna tunnustus antakse kord aastas ühele isikule, ei kaasne sellega märkimisväärset eelarvelist muutust</w:t>
      </w:r>
      <w:r>
        <w:rPr>
          <w:sz w:val="24"/>
          <w:szCs w:val="24"/>
          <w:lang w:val="et-EE"/>
        </w:rPr>
        <w:t>.</w:t>
      </w:r>
    </w:p>
    <w:p w14:paraId="3E8A3198" w14:textId="52381C7A" w:rsidR="00161C42" w:rsidRPr="00161C42" w:rsidRDefault="00161C42" w:rsidP="00161C42">
      <w:pPr>
        <w:spacing w:after="120" w:line="276" w:lineRule="auto"/>
        <w:jc w:val="both"/>
        <w:rPr>
          <w:sz w:val="24"/>
          <w:szCs w:val="24"/>
          <w:u w:val="single"/>
          <w:lang w:val="et-EE"/>
        </w:rPr>
      </w:pPr>
      <w:r w:rsidRPr="00161C42">
        <w:rPr>
          <w:sz w:val="24"/>
          <w:szCs w:val="24"/>
          <w:u w:val="single"/>
          <w:lang w:val="et-EE"/>
        </w:rPr>
        <w:t>Määruse vastu võtmiseks on vajalik volikogu poolthäälte enamus.</w:t>
      </w:r>
    </w:p>
    <w:p w14:paraId="6E01C4BC" w14:textId="58AE063B" w:rsidR="00161C42" w:rsidRPr="00161C42" w:rsidRDefault="00161C42" w:rsidP="00161C42">
      <w:pPr>
        <w:spacing w:line="276" w:lineRule="auto"/>
        <w:jc w:val="both"/>
        <w:rPr>
          <w:sz w:val="24"/>
          <w:szCs w:val="24"/>
          <w:u w:val="single"/>
          <w:lang w:val="et-EE"/>
        </w:rPr>
      </w:pPr>
      <w:r w:rsidRPr="00161C42">
        <w:rPr>
          <w:sz w:val="24"/>
          <w:szCs w:val="24"/>
          <w:u w:val="single"/>
          <w:lang w:val="et-EE"/>
        </w:rPr>
        <w:t>Määrus jõustub kolmandal päeval peale Riigi Teatajas avaldamist.</w:t>
      </w:r>
    </w:p>
    <w:p w14:paraId="0ACA515F" w14:textId="0AA6B445" w:rsidR="00427955" w:rsidRDefault="00427955" w:rsidP="00161C42">
      <w:pPr>
        <w:spacing w:line="276" w:lineRule="auto"/>
        <w:jc w:val="both"/>
        <w:rPr>
          <w:sz w:val="24"/>
          <w:szCs w:val="24"/>
          <w:lang w:val="et-EE"/>
        </w:rPr>
      </w:pPr>
    </w:p>
    <w:p w14:paraId="385E8219" w14:textId="33C0C13D" w:rsidR="00161C42" w:rsidRDefault="00161C42" w:rsidP="00161C42">
      <w:pPr>
        <w:spacing w:line="276" w:lineRule="auto"/>
        <w:jc w:val="both"/>
        <w:rPr>
          <w:sz w:val="24"/>
          <w:szCs w:val="24"/>
          <w:lang w:val="et-EE"/>
        </w:rPr>
      </w:pPr>
    </w:p>
    <w:p w14:paraId="04C20E91" w14:textId="77777777" w:rsidR="00161C42" w:rsidRDefault="00161C42" w:rsidP="00161C42">
      <w:pPr>
        <w:spacing w:line="276" w:lineRule="auto"/>
        <w:jc w:val="both"/>
        <w:rPr>
          <w:sz w:val="24"/>
          <w:szCs w:val="24"/>
          <w:lang w:val="et-EE"/>
        </w:rPr>
      </w:pPr>
    </w:p>
    <w:p w14:paraId="3A66B8B6" w14:textId="12809E76" w:rsidR="00427955" w:rsidRDefault="00427955" w:rsidP="00161C42">
      <w:pPr>
        <w:spacing w:line="276" w:lineRule="auto"/>
        <w:jc w:val="both"/>
        <w:rPr>
          <w:sz w:val="24"/>
          <w:szCs w:val="24"/>
          <w:lang w:val="et-EE"/>
        </w:rPr>
      </w:pPr>
      <w:r>
        <w:rPr>
          <w:sz w:val="24"/>
          <w:szCs w:val="24"/>
          <w:lang w:val="et-EE"/>
        </w:rPr>
        <w:t>Eelnõu koostas</w:t>
      </w:r>
    </w:p>
    <w:p w14:paraId="6B4BC425" w14:textId="122F2DC6" w:rsidR="00427955" w:rsidRDefault="00427955" w:rsidP="00161C42">
      <w:pPr>
        <w:spacing w:line="276" w:lineRule="auto"/>
        <w:jc w:val="both"/>
        <w:rPr>
          <w:sz w:val="24"/>
          <w:szCs w:val="24"/>
          <w:lang w:val="et-EE"/>
        </w:rPr>
      </w:pPr>
      <w:r>
        <w:rPr>
          <w:sz w:val="24"/>
          <w:szCs w:val="24"/>
          <w:lang w:val="et-EE"/>
        </w:rPr>
        <w:t>Katrin Slungin</w:t>
      </w:r>
    </w:p>
    <w:p w14:paraId="36FBC91E" w14:textId="518C7F1A" w:rsidR="00427955" w:rsidRPr="00D060B2" w:rsidRDefault="00427955" w:rsidP="00161C42">
      <w:pPr>
        <w:spacing w:line="276" w:lineRule="auto"/>
        <w:jc w:val="both"/>
        <w:rPr>
          <w:lang w:val="et-EE"/>
        </w:rPr>
      </w:pPr>
      <w:r>
        <w:rPr>
          <w:sz w:val="24"/>
          <w:szCs w:val="24"/>
          <w:lang w:val="et-EE"/>
        </w:rPr>
        <w:t>vallasekretär</w:t>
      </w:r>
    </w:p>
    <w:sectPr w:rsidR="00427955" w:rsidRPr="00D060B2" w:rsidSect="006613C3">
      <w:pgSz w:w="11906" w:h="16838"/>
      <w:pgMar w:top="510" w:right="851" w:bottom="51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7"/>
  </w:num>
  <w:num w:numId="6" w16cid:durableId="1247350382">
    <w:abstractNumId w:val="6"/>
  </w:num>
  <w:num w:numId="7" w16cid:durableId="86852073">
    <w:abstractNumId w:val="5"/>
  </w:num>
  <w:num w:numId="8" w16cid:durableId="181320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679B"/>
    <w:rsid w:val="000277B8"/>
    <w:rsid w:val="00032FCE"/>
    <w:rsid w:val="00043C0E"/>
    <w:rsid w:val="00054DC3"/>
    <w:rsid w:val="00071334"/>
    <w:rsid w:val="000713FF"/>
    <w:rsid w:val="000820E1"/>
    <w:rsid w:val="00091D9B"/>
    <w:rsid w:val="00093757"/>
    <w:rsid w:val="000A2F10"/>
    <w:rsid w:val="000A5C5E"/>
    <w:rsid w:val="000C49D7"/>
    <w:rsid w:val="000D492B"/>
    <w:rsid w:val="000E4613"/>
    <w:rsid w:val="000F10CF"/>
    <w:rsid w:val="000F4F2C"/>
    <w:rsid w:val="0010678E"/>
    <w:rsid w:val="0011309D"/>
    <w:rsid w:val="0012676F"/>
    <w:rsid w:val="00135AA8"/>
    <w:rsid w:val="00161033"/>
    <w:rsid w:val="00161C42"/>
    <w:rsid w:val="00163875"/>
    <w:rsid w:val="00182443"/>
    <w:rsid w:val="001911B9"/>
    <w:rsid w:val="001B4269"/>
    <w:rsid w:val="001B466B"/>
    <w:rsid w:val="001C0FDE"/>
    <w:rsid w:val="001E6EE2"/>
    <w:rsid w:val="00207D3C"/>
    <w:rsid w:val="00222327"/>
    <w:rsid w:val="00231010"/>
    <w:rsid w:val="00232016"/>
    <w:rsid w:val="0025026D"/>
    <w:rsid w:val="00256221"/>
    <w:rsid w:val="0026033E"/>
    <w:rsid w:val="00270DDA"/>
    <w:rsid w:val="002A63DB"/>
    <w:rsid w:val="002C6AA2"/>
    <w:rsid w:val="002F0F3C"/>
    <w:rsid w:val="002F7461"/>
    <w:rsid w:val="00345880"/>
    <w:rsid w:val="0034647D"/>
    <w:rsid w:val="003944E0"/>
    <w:rsid w:val="003A102E"/>
    <w:rsid w:val="003C2C8D"/>
    <w:rsid w:val="003C73EE"/>
    <w:rsid w:val="003D7790"/>
    <w:rsid w:val="003E1926"/>
    <w:rsid w:val="003F78A1"/>
    <w:rsid w:val="00421CAD"/>
    <w:rsid w:val="0042340C"/>
    <w:rsid w:val="00427955"/>
    <w:rsid w:val="004641A6"/>
    <w:rsid w:val="004839F2"/>
    <w:rsid w:val="004B5281"/>
    <w:rsid w:val="004C3C04"/>
    <w:rsid w:val="004E0666"/>
    <w:rsid w:val="004E1BE5"/>
    <w:rsid w:val="004F2918"/>
    <w:rsid w:val="0051712B"/>
    <w:rsid w:val="005206DD"/>
    <w:rsid w:val="00541072"/>
    <w:rsid w:val="00543B9F"/>
    <w:rsid w:val="00543E20"/>
    <w:rsid w:val="00570F1E"/>
    <w:rsid w:val="00571E03"/>
    <w:rsid w:val="00581226"/>
    <w:rsid w:val="005C28F2"/>
    <w:rsid w:val="005D0E3D"/>
    <w:rsid w:val="005D63DF"/>
    <w:rsid w:val="005E06FC"/>
    <w:rsid w:val="005E74C3"/>
    <w:rsid w:val="005F7532"/>
    <w:rsid w:val="006158CE"/>
    <w:rsid w:val="006438D6"/>
    <w:rsid w:val="0064469A"/>
    <w:rsid w:val="006613C3"/>
    <w:rsid w:val="0066275B"/>
    <w:rsid w:val="00670923"/>
    <w:rsid w:val="00684875"/>
    <w:rsid w:val="006B1798"/>
    <w:rsid w:val="006B3C13"/>
    <w:rsid w:val="006C2DE7"/>
    <w:rsid w:val="006D6843"/>
    <w:rsid w:val="00700573"/>
    <w:rsid w:val="00740984"/>
    <w:rsid w:val="007450BE"/>
    <w:rsid w:val="007470C1"/>
    <w:rsid w:val="0075185D"/>
    <w:rsid w:val="00776B45"/>
    <w:rsid w:val="0078480F"/>
    <w:rsid w:val="007A550C"/>
    <w:rsid w:val="007A7F15"/>
    <w:rsid w:val="007C069B"/>
    <w:rsid w:val="007D35F1"/>
    <w:rsid w:val="007D41A1"/>
    <w:rsid w:val="007E0D8E"/>
    <w:rsid w:val="007E568D"/>
    <w:rsid w:val="007E6FF0"/>
    <w:rsid w:val="00825AC2"/>
    <w:rsid w:val="00826253"/>
    <w:rsid w:val="00834674"/>
    <w:rsid w:val="008501B6"/>
    <w:rsid w:val="00857B26"/>
    <w:rsid w:val="00883EBE"/>
    <w:rsid w:val="00892D57"/>
    <w:rsid w:val="008B2212"/>
    <w:rsid w:val="008B2536"/>
    <w:rsid w:val="008E2F32"/>
    <w:rsid w:val="008F418F"/>
    <w:rsid w:val="00927333"/>
    <w:rsid w:val="00931C53"/>
    <w:rsid w:val="009340D8"/>
    <w:rsid w:val="0093559B"/>
    <w:rsid w:val="0094517C"/>
    <w:rsid w:val="00946190"/>
    <w:rsid w:val="00956E26"/>
    <w:rsid w:val="00965313"/>
    <w:rsid w:val="00980E5C"/>
    <w:rsid w:val="009A1AA6"/>
    <w:rsid w:val="009D0150"/>
    <w:rsid w:val="009D4F8F"/>
    <w:rsid w:val="009F7E29"/>
    <w:rsid w:val="00A22607"/>
    <w:rsid w:val="00A22BAE"/>
    <w:rsid w:val="00A3787A"/>
    <w:rsid w:val="00A439F2"/>
    <w:rsid w:val="00A47158"/>
    <w:rsid w:val="00A54295"/>
    <w:rsid w:val="00A579AD"/>
    <w:rsid w:val="00A7463E"/>
    <w:rsid w:val="00AC6AD9"/>
    <w:rsid w:val="00B36256"/>
    <w:rsid w:val="00B64CA1"/>
    <w:rsid w:val="00B65709"/>
    <w:rsid w:val="00B71B78"/>
    <w:rsid w:val="00B75DCB"/>
    <w:rsid w:val="00B841D7"/>
    <w:rsid w:val="00B95A7A"/>
    <w:rsid w:val="00BA2CA3"/>
    <w:rsid w:val="00BC4125"/>
    <w:rsid w:val="00BC4800"/>
    <w:rsid w:val="00BF1AA6"/>
    <w:rsid w:val="00C20E79"/>
    <w:rsid w:val="00C23B97"/>
    <w:rsid w:val="00C3189A"/>
    <w:rsid w:val="00C35486"/>
    <w:rsid w:val="00C635E8"/>
    <w:rsid w:val="00C7155E"/>
    <w:rsid w:val="00C80CDF"/>
    <w:rsid w:val="00C843B0"/>
    <w:rsid w:val="00C84A3E"/>
    <w:rsid w:val="00C925A0"/>
    <w:rsid w:val="00CC4902"/>
    <w:rsid w:val="00CC5955"/>
    <w:rsid w:val="00CC72D6"/>
    <w:rsid w:val="00CD2B2F"/>
    <w:rsid w:val="00CE0BE2"/>
    <w:rsid w:val="00D060B2"/>
    <w:rsid w:val="00D158A0"/>
    <w:rsid w:val="00D16E3C"/>
    <w:rsid w:val="00D26B1E"/>
    <w:rsid w:val="00D55260"/>
    <w:rsid w:val="00D663D3"/>
    <w:rsid w:val="00D74735"/>
    <w:rsid w:val="00D84C9D"/>
    <w:rsid w:val="00D97E48"/>
    <w:rsid w:val="00DB6674"/>
    <w:rsid w:val="00E16DA6"/>
    <w:rsid w:val="00E37F9B"/>
    <w:rsid w:val="00E62F2C"/>
    <w:rsid w:val="00E66A69"/>
    <w:rsid w:val="00E70924"/>
    <w:rsid w:val="00E7315F"/>
    <w:rsid w:val="00E75368"/>
    <w:rsid w:val="00E91247"/>
    <w:rsid w:val="00EA212F"/>
    <w:rsid w:val="00EA51E7"/>
    <w:rsid w:val="00ED0AF6"/>
    <w:rsid w:val="00EE0A05"/>
    <w:rsid w:val="00F0682A"/>
    <w:rsid w:val="00F07B18"/>
    <w:rsid w:val="00F41B21"/>
    <w:rsid w:val="00F439FB"/>
    <w:rsid w:val="00F61327"/>
    <w:rsid w:val="00F70AB8"/>
    <w:rsid w:val="00F7151F"/>
    <w:rsid w:val="00FA1B34"/>
    <w:rsid w:val="00FA1BC8"/>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811</Words>
  <Characters>4704</Characters>
  <Application>Microsoft Office Word</Application>
  <DocSecurity>0</DocSecurity>
  <Lines>39</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6</cp:revision>
  <cp:lastPrinted>2022-12-19T18:20:00Z</cp:lastPrinted>
  <dcterms:created xsi:type="dcterms:W3CDTF">2023-01-12T07:01:00Z</dcterms:created>
  <dcterms:modified xsi:type="dcterms:W3CDTF">2023-01-13T13:21:00Z</dcterms:modified>
</cp:coreProperties>
</file>